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E39" w:rsidRDefault="00673E39" w:rsidP="00673E39">
      <w:pPr>
        <w:pStyle w:val="Heading1"/>
        <w:rPr>
          <w:lang w:val="en-US"/>
        </w:rPr>
      </w:pPr>
      <w:r>
        <w:rPr>
          <w:lang w:val="en-US"/>
        </w:rPr>
        <w:t>Brief information on TB Regional Project</w:t>
      </w:r>
    </w:p>
    <w:p w:rsidR="009D7AAC" w:rsidRPr="00A178C0" w:rsidRDefault="00B34F7A" w:rsidP="00A178C0">
      <w:pPr>
        <w:jc w:val="both"/>
        <w:rPr>
          <w:rFonts w:cs="Calibri"/>
          <w:sz w:val="20"/>
          <w:szCs w:val="20"/>
        </w:rPr>
      </w:pPr>
      <w:r>
        <w:rPr>
          <w:rFonts w:cs="Calibri"/>
          <w:b/>
          <w:sz w:val="20"/>
          <w:szCs w:val="20"/>
          <w:lang w:val="en-US"/>
        </w:rPr>
        <w:t>Background information</w:t>
      </w:r>
    </w:p>
    <w:p w:rsidR="009D7AAC" w:rsidRPr="00A178C0" w:rsidRDefault="009D7AAC" w:rsidP="00A178C0">
      <w:pPr>
        <w:shd w:val="clear" w:color="auto" w:fill="FFFFFF"/>
        <w:jc w:val="both"/>
        <w:rPr>
          <w:rFonts w:cs="Calibri"/>
          <w:sz w:val="20"/>
          <w:szCs w:val="20"/>
        </w:rPr>
      </w:pPr>
      <w:r w:rsidRPr="009D7AAC">
        <w:rPr>
          <w:rFonts w:cs="Calibri"/>
          <w:sz w:val="20"/>
          <w:szCs w:val="20"/>
        </w:rPr>
        <w:t xml:space="preserve">TB REP funded by the Global Fund and implemented by </w:t>
      </w:r>
      <w:r w:rsidR="00A178C0" w:rsidRPr="00A178C0">
        <w:rPr>
          <w:rFonts w:cs="Calibri"/>
          <w:sz w:val="20"/>
          <w:szCs w:val="20"/>
        </w:rPr>
        <w:t>Center for Policies and Studies</w:t>
      </w:r>
      <w:r w:rsidR="00A178C0">
        <w:rPr>
          <w:rFonts w:cs="Calibri"/>
          <w:sz w:val="20"/>
          <w:szCs w:val="20"/>
          <w:lang w:val="en-US"/>
        </w:rPr>
        <w:t xml:space="preserve"> (</w:t>
      </w:r>
      <w:r w:rsidRPr="009D7AAC">
        <w:rPr>
          <w:rFonts w:cs="Calibri"/>
          <w:sz w:val="20"/>
          <w:szCs w:val="20"/>
        </w:rPr>
        <w:t>PAS</w:t>
      </w:r>
      <w:r w:rsidR="00A178C0">
        <w:rPr>
          <w:rFonts w:cs="Calibri"/>
          <w:sz w:val="20"/>
          <w:szCs w:val="20"/>
          <w:lang w:val="en-US"/>
        </w:rPr>
        <w:t>,</w:t>
      </w:r>
      <w:r w:rsidR="00A178C0">
        <w:rPr>
          <w:rFonts w:cs="Calibri"/>
          <w:sz w:val="20"/>
          <w:szCs w:val="20"/>
        </w:rPr>
        <w:t xml:space="preserve"> </w:t>
      </w:r>
      <w:r w:rsidR="00A178C0" w:rsidRPr="00A178C0">
        <w:rPr>
          <w:rFonts w:cs="Calibri"/>
          <w:sz w:val="20"/>
          <w:szCs w:val="20"/>
        </w:rPr>
        <w:t>Moldova)</w:t>
      </w:r>
      <w:r w:rsidRPr="009D7AAC">
        <w:rPr>
          <w:rFonts w:cs="Calibri"/>
          <w:sz w:val="20"/>
          <w:szCs w:val="20"/>
        </w:rPr>
        <w:t xml:space="preserve"> as a Principal Recipient and WHO Regional Office for Europe as one of the key technical partners, has been supporting eleven EECA </w:t>
      </w:r>
      <w:r>
        <w:rPr>
          <w:rFonts w:cs="Calibri"/>
          <w:sz w:val="20"/>
          <w:szCs w:val="20"/>
        </w:rPr>
        <w:t xml:space="preserve">countries, including Georgia, </w:t>
      </w:r>
      <w:r w:rsidRPr="009D7AAC">
        <w:rPr>
          <w:rFonts w:cs="Calibri"/>
          <w:sz w:val="20"/>
          <w:szCs w:val="20"/>
        </w:rPr>
        <w:t>to address outdated models of TB care to tackle high burden of TB and MDR TB, and related to those health systems’ barriers, such as inefficient and fragmented health financing and lack of strategic human resources planning. This project aims to support countries to implement effective and efficient TB service delivery systems with sustainable financing.</w:t>
      </w:r>
      <w:r w:rsidR="00A93CB2">
        <w:rPr>
          <w:rFonts w:cs="Calibri"/>
          <w:sz w:val="20"/>
          <w:szCs w:val="20"/>
          <w:lang w:val="en-US"/>
        </w:rPr>
        <w:t xml:space="preserve"> The </w:t>
      </w:r>
      <w:r w:rsidR="00A93CB2">
        <w:rPr>
          <w:rFonts w:cs="Calibri"/>
          <w:sz w:val="20"/>
          <w:szCs w:val="20"/>
        </w:rPr>
        <w:t>project duration</w:t>
      </w:r>
      <w:r w:rsidR="00A93CB2" w:rsidRPr="00A93CB2">
        <w:rPr>
          <w:rFonts w:cs="Calibri"/>
          <w:sz w:val="20"/>
          <w:szCs w:val="20"/>
        </w:rPr>
        <w:t xml:space="preserve"> is </w:t>
      </w:r>
      <w:r w:rsidR="00A93CB2">
        <w:rPr>
          <w:rFonts w:cs="Calibri"/>
          <w:sz w:val="20"/>
          <w:szCs w:val="20"/>
          <w:lang w:val="en-US"/>
        </w:rPr>
        <w:t xml:space="preserve">3 years, </w:t>
      </w:r>
      <w:r w:rsidR="00A93CB2" w:rsidRPr="00A93CB2">
        <w:rPr>
          <w:rFonts w:cs="Calibri"/>
          <w:sz w:val="20"/>
          <w:szCs w:val="20"/>
        </w:rPr>
        <w:t>from 1 January 2016 to 31 December 2018</w:t>
      </w:r>
      <w:r w:rsidR="00A93CB2">
        <w:rPr>
          <w:rFonts w:cs="Calibri"/>
          <w:sz w:val="20"/>
          <w:szCs w:val="20"/>
          <w:lang w:val="en-US"/>
        </w:rPr>
        <w:t>.</w:t>
      </w:r>
    </w:p>
    <w:p w:rsidR="00A93CB2" w:rsidRPr="00A93CB2" w:rsidRDefault="00A93CB2" w:rsidP="00A178C0">
      <w:pPr>
        <w:jc w:val="both"/>
        <w:rPr>
          <w:rFonts w:cs="Calibri"/>
          <w:sz w:val="20"/>
          <w:szCs w:val="20"/>
          <w:lang w:val="en-US"/>
        </w:rPr>
      </w:pPr>
      <w:r>
        <w:rPr>
          <w:rFonts w:cs="Calibri"/>
          <w:sz w:val="20"/>
          <w:szCs w:val="20"/>
          <w:lang w:val="en-US"/>
        </w:rPr>
        <w:t xml:space="preserve">In 2017, TB-REP project developed </w:t>
      </w:r>
      <w:r>
        <w:rPr>
          <w:rFonts w:cs="Calibri"/>
          <w:sz w:val="20"/>
          <w:szCs w:val="20"/>
        </w:rPr>
        <w:t xml:space="preserve">a blueprint </w:t>
      </w:r>
      <w:r>
        <w:rPr>
          <w:rFonts w:cs="Calibri"/>
          <w:sz w:val="20"/>
          <w:szCs w:val="20"/>
          <w:lang w:val="en-US"/>
        </w:rPr>
        <w:t xml:space="preserve">- </w:t>
      </w:r>
      <w:r>
        <w:rPr>
          <w:rFonts w:cs="Calibri"/>
          <w:sz w:val="20"/>
          <w:szCs w:val="20"/>
        </w:rPr>
        <w:t>“A People-Centered Model of TB C</w:t>
      </w:r>
      <w:r w:rsidRPr="00A93CB2">
        <w:rPr>
          <w:rFonts w:cs="Calibri"/>
          <w:sz w:val="20"/>
          <w:szCs w:val="20"/>
        </w:rPr>
        <w:t xml:space="preserve">are”. The blueprint provides the framework for the countries to adopt policy operations and implement effective and efficient TB service delivery systems, shift towards out-patient, people centered models of </w:t>
      </w:r>
      <w:r>
        <w:rPr>
          <w:rFonts w:cs="Calibri"/>
          <w:sz w:val="20"/>
          <w:szCs w:val="20"/>
        </w:rPr>
        <w:t>care with sustainable financing and well-aligned payment mechanisms; and achieve better health outcomes in TB prevention and care</w:t>
      </w:r>
      <w:r w:rsidR="00A178C0">
        <w:rPr>
          <w:rFonts w:cs="Calibri"/>
          <w:sz w:val="20"/>
          <w:szCs w:val="20"/>
          <w:lang w:val="en-US"/>
        </w:rPr>
        <w:t xml:space="preserve"> (</w:t>
      </w:r>
      <w:hyperlink r:id="rId5" w:history="1">
        <w:r w:rsidR="00A178C0" w:rsidRPr="00A178C0">
          <w:rPr>
            <w:rStyle w:val="Hyperlink"/>
            <w:rFonts w:cs="Calibri"/>
            <w:sz w:val="20"/>
            <w:szCs w:val="20"/>
            <w:lang w:val="en-US"/>
          </w:rPr>
          <w:t>Blueprint</w:t>
        </w:r>
      </w:hyperlink>
      <w:r w:rsidR="00A178C0">
        <w:rPr>
          <w:rFonts w:cs="Calibri"/>
          <w:sz w:val="20"/>
          <w:szCs w:val="20"/>
          <w:lang w:val="en-US"/>
        </w:rPr>
        <w:t>)</w:t>
      </w:r>
      <w:r>
        <w:rPr>
          <w:rFonts w:cs="Calibri"/>
          <w:sz w:val="20"/>
          <w:szCs w:val="20"/>
        </w:rPr>
        <w:t>.</w:t>
      </w:r>
    </w:p>
    <w:p w:rsidR="009D7AAC" w:rsidRPr="00A93CB2" w:rsidRDefault="00A93CB2" w:rsidP="00A178C0">
      <w:pPr>
        <w:jc w:val="both"/>
        <w:rPr>
          <w:rFonts w:cs="Calibri"/>
          <w:b/>
          <w:sz w:val="20"/>
          <w:szCs w:val="20"/>
          <w:lang w:val="en-US"/>
        </w:rPr>
      </w:pPr>
      <w:r w:rsidRPr="00A93CB2">
        <w:rPr>
          <w:rFonts w:cs="Calibri"/>
          <w:b/>
          <w:sz w:val="20"/>
          <w:szCs w:val="20"/>
          <w:lang w:val="en-US"/>
        </w:rPr>
        <w:t>Georgia</w:t>
      </w:r>
      <w:r w:rsidR="00F25A83">
        <w:rPr>
          <w:rFonts w:cs="Calibri"/>
          <w:b/>
          <w:sz w:val="20"/>
          <w:szCs w:val="20"/>
          <w:lang w:val="en-US"/>
        </w:rPr>
        <w:t xml:space="preserve"> specific activities under the TB-REP project</w:t>
      </w:r>
    </w:p>
    <w:p w:rsidR="00A93CB2" w:rsidRDefault="00B34F7A" w:rsidP="00A178C0">
      <w:pPr>
        <w:pStyle w:val="ListParagraph"/>
        <w:numPr>
          <w:ilvl w:val="0"/>
          <w:numId w:val="2"/>
        </w:numPr>
        <w:jc w:val="both"/>
        <w:rPr>
          <w:rFonts w:cs="Calibri"/>
          <w:sz w:val="20"/>
          <w:szCs w:val="20"/>
          <w:lang w:val="en-US"/>
        </w:rPr>
      </w:pPr>
      <w:r>
        <w:rPr>
          <w:rFonts w:cs="Calibri"/>
          <w:sz w:val="20"/>
          <w:szCs w:val="20"/>
          <w:lang w:val="en-US"/>
        </w:rPr>
        <w:t xml:space="preserve">Dr. </w:t>
      </w:r>
      <w:r w:rsidR="00A93CB2">
        <w:rPr>
          <w:rFonts w:cs="Calibri"/>
          <w:sz w:val="20"/>
          <w:szCs w:val="20"/>
          <w:lang w:val="en-US"/>
        </w:rPr>
        <w:t>Amiran Gamkrelidze is a country focal point</w:t>
      </w:r>
      <w:r w:rsidR="00A00C8F">
        <w:rPr>
          <w:rFonts w:cs="Calibri"/>
          <w:sz w:val="20"/>
          <w:szCs w:val="20"/>
          <w:lang w:val="en-US"/>
        </w:rPr>
        <w:t xml:space="preserve"> for the TB-REP project</w:t>
      </w:r>
      <w:r w:rsidR="001D0D67">
        <w:rPr>
          <w:rFonts w:cs="Calibri"/>
          <w:sz w:val="20"/>
          <w:szCs w:val="20"/>
        </w:rPr>
        <w:t>;</w:t>
      </w:r>
    </w:p>
    <w:p w:rsidR="00A00C8F" w:rsidRDefault="00A00C8F" w:rsidP="00A178C0">
      <w:pPr>
        <w:pStyle w:val="ListParagraph"/>
        <w:numPr>
          <w:ilvl w:val="0"/>
          <w:numId w:val="2"/>
        </w:numPr>
        <w:jc w:val="both"/>
        <w:rPr>
          <w:rFonts w:cs="Calibri"/>
          <w:sz w:val="20"/>
          <w:szCs w:val="20"/>
          <w:lang w:val="en-US"/>
        </w:rPr>
      </w:pPr>
      <w:r>
        <w:rPr>
          <w:rFonts w:cs="Calibri"/>
          <w:sz w:val="20"/>
          <w:szCs w:val="20"/>
          <w:lang w:val="en-US"/>
        </w:rPr>
        <w:t>Policy and Advocacy Advisor Council (PAAC) serves as a National Working Group (NWG) for the TB-REP project</w:t>
      </w:r>
      <w:r w:rsidR="00CA5A68">
        <w:rPr>
          <w:rFonts w:cs="Calibri"/>
          <w:sz w:val="20"/>
          <w:szCs w:val="20"/>
        </w:rPr>
        <w:t>.</w:t>
      </w:r>
      <w:r>
        <w:rPr>
          <w:rFonts w:cs="Calibri"/>
          <w:sz w:val="20"/>
          <w:szCs w:val="20"/>
          <w:lang w:val="en-US"/>
        </w:rPr>
        <w:t xml:space="preserve"> </w:t>
      </w:r>
      <w:r w:rsidR="00CA5A68" w:rsidRPr="00CA5A68">
        <w:rPr>
          <w:rFonts w:cs="Calibri"/>
          <w:sz w:val="20"/>
          <w:szCs w:val="20"/>
          <w:lang w:val="en-US"/>
        </w:rPr>
        <w:t xml:space="preserve">The main focus of the working groups is improving models of care and health financing for TB. </w:t>
      </w:r>
      <w:r w:rsidR="00CA5A68">
        <w:rPr>
          <w:rFonts w:cs="Calibri"/>
          <w:sz w:val="20"/>
          <w:szCs w:val="20"/>
          <w:lang w:val="en-US"/>
        </w:rPr>
        <w:t xml:space="preserve">Special attention is paid to ensuring that </w:t>
      </w:r>
      <w:r w:rsidR="00CA5A68" w:rsidRPr="00CA5A68">
        <w:rPr>
          <w:rFonts w:cs="Calibri"/>
          <w:sz w:val="20"/>
          <w:szCs w:val="20"/>
          <w:lang w:val="en-US"/>
        </w:rPr>
        <w:t>the process of health systems reform and transformation to improve TB prevention and care is sustainable, accountable and owned by the country.</w:t>
      </w:r>
    </w:p>
    <w:p w:rsidR="00B34F7A" w:rsidRPr="00A00C8F" w:rsidRDefault="00A178C0" w:rsidP="00A178C0">
      <w:pPr>
        <w:pStyle w:val="ListParagraph"/>
        <w:numPr>
          <w:ilvl w:val="0"/>
          <w:numId w:val="2"/>
        </w:numPr>
        <w:jc w:val="both"/>
        <w:rPr>
          <w:rFonts w:cs="Calibri"/>
          <w:sz w:val="20"/>
          <w:szCs w:val="20"/>
        </w:rPr>
      </w:pPr>
      <w:r>
        <w:rPr>
          <w:rFonts w:cs="Calibri"/>
          <w:sz w:val="20"/>
          <w:szCs w:val="20"/>
          <w:lang w:val="en-US"/>
        </w:rPr>
        <w:t>“</w:t>
      </w:r>
      <w:r w:rsidR="00A00C8F" w:rsidRPr="00A00C8F">
        <w:rPr>
          <w:rFonts w:cs="Calibri"/>
          <w:sz w:val="20"/>
          <w:szCs w:val="20"/>
        </w:rPr>
        <w:t>Georgia Family Medicine Association</w:t>
      </w:r>
      <w:r>
        <w:rPr>
          <w:rFonts w:cs="Calibri"/>
          <w:sz w:val="20"/>
          <w:szCs w:val="20"/>
          <w:lang w:val="en-US"/>
        </w:rPr>
        <w:t>”</w:t>
      </w:r>
      <w:r w:rsidR="00A00C8F" w:rsidRPr="00A00C8F">
        <w:rPr>
          <w:rFonts w:cs="Calibri"/>
          <w:sz w:val="20"/>
          <w:szCs w:val="20"/>
        </w:rPr>
        <w:t xml:space="preserve"> </w:t>
      </w:r>
      <w:r>
        <w:rPr>
          <w:rFonts w:cs="Calibri"/>
          <w:sz w:val="20"/>
          <w:szCs w:val="20"/>
          <w:lang w:val="en-US"/>
        </w:rPr>
        <w:t xml:space="preserve">received the funding from the TP-REP and </w:t>
      </w:r>
      <w:r w:rsidR="00A00C8F" w:rsidRPr="00A00C8F">
        <w:rPr>
          <w:rFonts w:cs="Calibri"/>
          <w:sz w:val="20"/>
          <w:szCs w:val="20"/>
        </w:rPr>
        <w:t>has been implementing the project “expanding patient-centered care for TB KAP in Georgia”</w:t>
      </w:r>
      <w:r w:rsidR="00AE736C">
        <w:rPr>
          <w:rFonts w:cs="Calibri"/>
          <w:sz w:val="20"/>
          <w:szCs w:val="20"/>
          <w:lang w:val="en-US"/>
        </w:rPr>
        <w:t xml:space="preserve"> </w:t>
      </w:r>
      <w:r w:rsidR="00AE736C" w:rsidRPr="00A00C8F">
        <w:rPr>
          <w:rFonts w:cs="Calibri"/>
          <w:sz w:val="20"/>
          <w:szCs w:val="20"/>
        </w:rPr>
        <w:t>since March 1</w:t>
      </w:r>
      <w:r w:rsidR="00AE736C">
        <w:rPr>
          <w:rFonts w:cs="Calibri"/>
          <w:sz w:val="20"/>
          <w:szCs w:val="20"/>
          <w:lang w:val="en-US"/>
        </w:rPr>
        <w:t>,</w:t>
      </w:r>
      <w:r w:rsidR="00AE736C" w:rsidRPr="00A00C8F">
        <w:rPr>
          <w:rFonts w:cs="Calibri"/>
          <w:sz w:val="20"/>
          <w:szCs w:val="20"/>
        </w:rPr>
        <w:t xml:space="preserve"> 2016</w:t>
      </w:r>
      <w:r>
        <w:rPr>
          <w:rFonts w:cs="Calibri"/>
          <w:sz w:val="20"/>
          <w:szCs w:val="20"/>
          <w:lang w:val="en-US"/>
        </w:rPr>
        <w:t>. T</w:t>
      </w:r>
      <w:r w:rsidR="00A00C8F">
        <w:rPr>
          <w:rFonts w:cs="Calibri"/>
          <w:sz w:val="20"/>
          <w:szCs w:val="20"/>
          <w:lang w:val="en-US"/>
        </w:rPr>
        <w:t>he objectives of the project are:</w:t>
      </w:r>
    </w:p>
    <w:p w:rsidR="00EC544C" w:rsidRPr="00A00C8F" w:rsidRDefault="00AE736C" w:rsidP="00A178C0">
      <w:pPr>
        <w:pStyle w:val="ListParagraph"/>
        <w:numPr>
          <w:ilvl w:val="1"/>
          <w:numId w:val="2"/>
        </w:numPr>
        <w:jc w:val="both"/>
        <w:rPr>
          <w:rFonts w:cs="Calibri"/>
          <w:sz w:val="20"/>
          <w:szCs w:val="20"/>
        </w:rPr>
      </w:pPr>
      <w:r w:rsidRPr="00A00C8F">
        <w:rPr>
          <w:rFonts w:cs="Calibri"/>
          <w:sz w:val="20"/>
          <w:szCs w:val="20"/>
        </w:rPr>
        <w:t>Expanding patient-centered care for TB KAP in Georgia 2016-2017</w:t>
      </w:r>
      <w:r w:rsidR="00A00C8F">
        <w:rPr>
          <w:rFonts w:cs="Calibri"/>
          <w:sz w:val="20"/>
          <w:szCs w:val="20"/>
          <w:lang w:val="en-US"/>
        </w:rPr>
        <w:t xml:space="preserve"> (</w:t>
      </w:r>
      <w:r w:rsidRPr="00A00C8F">
        <w:rPr>
          <w:rFonts w:cs="Calibri"/>
          <w:sz w:val="20"/>
          <w:szCs w:val="20"/>
          <w:lang w:val="en-US"/>
        </w:rPr>
        <w:t>Develop TB outpatient Care Model Advocacy Strategy</w:t>
      </w:r>
      <w:r w:rsidR="00A00C8F">
        <w:rPr>
          <w:rFonts w:cs="Calibri"/>
          <w:sz w:val="20"/>
          <w:szCs w:val="20"/>
          <w:lang w:val="en-US"/>
        </w:rPr>
        <w:t>)</w:t>
      </w:r>
      <w:r w:rsidR="001D0D67">
        <w:rPr>
          <w:rFonts w:cs="Calibri"/>
          <w:sz w:val="20"/>
          <w:szCs w:val="20"/>
        </w:rPr>
        <w:t>;</w:t>
      </w:r>
    </w:p>
    <w:p w:rsidR="00483A42" w:rsidRPr="001D0D67" w:rsidRDefault="00AE736C" w:rsidP="00483A42">
      <w:pPr>
        <w:pStyle w:val="ListParagraph"/>
        <w:numPr>
          <w:ilvl w:val="1"/>
          <w:numId w:val="2"/>
        </w:numPr>
        <w:jc w:val="both"/>
        <w:rPr>
          <w:rFonts w:cs="Calibri"/>
          <w:sz w:val="20"/>
          <w:szCs w:val="20"/>
        </w:rPr>
      </w:pPr>
      <w:r w:rsidRPr="00A00C8F">
        <w:rPr>
          <w:rFonts w:cs="Calibri"/>
          <w:sz w:val="20"/>
          <w:szCs w:val="20"/>
        </w:rPr>
        <w:t>Strengthening outpatient TB care model in Georgia 2017-2018</w:t>
      </w:r>
      <w:r w:rsidR="00A00C8F">
        <w:rPr>
          <w:rFonts w:cs="Calibri"/>
          <w:sz w:val="20"/>
          <w:szCs w:val="20"/>
          <w:lang w:val="en-US"/>
        </w:rPr>
        <w:t xml:space="preserve"> (</w:t>
      </w:r>
      <w:r w:rsidRPr="00A00C8F">
        <w:rPr>
          <w:rFonts w:cs="Calibri"/>
          <w:sz w:val="20"/>
          <w:szCs w:val="20"/>
          <w:lang w:val="en-US"/>
        </w:rPr>
        <w:t>Develop a concept note on outpatient care model in Georgia</w:t>
      </w:r>
      <w:r w:rsidR="00A00C8F">
        <w:rPr>
          <w:rFonts w:cs="Calibri"/>
          <w:sz w:val="20"/>
          <w:szCs w:val="20"/>
          <w:lang w:val="en-US"/>
        </w:rPr>
        <w:t xml:space="preserve">; </w:t>
      </w:r>
      <w:r w:rsidRPr="00A00C8F">
        <w:rPr>
          <w:rFonts w:cs="Calibri"/>
          <w:sz w:val="20"/>
          <w:szCs w:val="20"/>
          <w:lang w:val="en-US"/>
        </w:rPr>
        <w:t>Facilitate engagement of private providers in TB service delivery</w:t>
      </w:r>
      <w:r w:rsidR="00A00C8F">
        <w:rPr>
          <w:rFonts w:cs="Calibri"/>
          <w:sz w:val="20"/>
          <w:szCs w:val="20"/>
          <w:lang w:val="en-US"/>
        </w:rPr>
        <w:t xml:space="preserve">; </w:t>
      </w:r>
      <w:r w:rsidRPr="00A00C8F">
        <w:rPr>
          <w:rFonts w:cs="Calibri"/>
          <w:sz w:val="20"/>
          <w:szCs w:val="20"/>
          <w:lang w:val="en-US"/>
        </w:rPr>
        <w:t>Strengthen capa</w:t>
      </w:r>
      <w:r w:rsidR="00A00C8F">
        <w:rPr>
          <w:rFonts w:cs="Calibri"/>
          <w:sz w:val="20"/>
          <w:szCs w:val="20"/>
          <w:lang w:val="en-US"/>
        </w:rPr>
        <w:t>city of Georgia Patients’ Union</w:t>
      </w:r>
      <w:r w:rsidR="00483A42">
        <w:rPr>
          <w:rFonts w:cs="Calibri"/>
          <w:sz w:val="20"/>
          <w:szCs w:val="20"/>
          <w:lang w:val="en-US"/>
        </w:rPr>
        <w:t xml:space="preserve">, </w:t>
      </w:r>
      <w:r w:rsidR="00483A42" w:rsidRPr="001D0D67">
        <w:rPr>
          <w:rFonts w:cs="Calibri"/>
          <w:sz w:val="20"/>
          <w:szCs w:val="20"/>
          <w:lang w:val="en-US"/>
        </w:rPr>
        <w:t>Develop Guidance for PHC providers on how to organize TB services, develop TB care quality standards and promote their implementation among private providers</w:t>
      </w:r>
      <w:r w:rsidR="00A00C8F" w:rsidRPr="001D0D67">
        <w:rPr>
          <w:rFonts w:cs="Calibri"/>
          <w:sz w:val="20"/>
          <w:szCs w:val="20"/>
          <w:lang w:val="en-US"/>
        </w:rPr>
        <w:t>)</w:t>
      </w:r>
      <w:r w:rsidR="001D0D67">
        <w:rPr>
          <w:rFonts w:cs="Calibri"/>
          <w:sz w:val="20"/>
          <w:szCs w:val="20"/>
        </w:rPr>
        <w:t>;</w:t>
      </w:r>
    </w:p>
    <w:p w:rsidR="00F25A83" w:rsidRPr="00CA5A68" w:rsidRDefault="00F25A83" w:rsidP="00F25A83">
      <w:pPr>
        <w:pStyle w:val="ListParagraph"/>
        <w:numPr>
          <w:ilvl w:val="0"/>
          <w:numId w:val="2"/>
        </w:numPr>
        <w:jc w:val="both"/>
        <w:rPr>
          <w:rFonts w:cs="Calibri"/>
          <w:sz w:val="20"/>
          <w:szCs w:val="20"/>
        </w:rPr>
      </w:pPr>
      <w:r>
        <w:rPr>
          <w:rFonts w:cs="Calibri"/>
          <w:sz w:val="20"/>
          <w:szCs w:val="20"/>
          <w:lang w:val="en-US"/>
        </w:rPr>
        <w:t>Representatives from Georgia are attending the regional meetings organized by the TB-REP project</w:t>
      </w:r>
      <w:r w:rsidR="00105489">
        <w:rPr>
          <w:rFonts w:cs="Calibri"/>
          <w:sz w:val="20"/>
          <w:szCs w:val="20"/>
          <w:lang w:val="en-US"/>
        </w:rPr>
        <w:t xml:space="preserve">, including </w:t>
      </w:r>
      <w:r w:rsidR="00105489" w:rsidRPr="00105489">
        <w:rPr>
          <w:rFonts w:cs="Calibri"/>
          <w:sz w:val="20"/>
          <w:szCs w:val="20"/>
        </w:rPr>
        <w:t>the WHO Barcelona Course on Health Systems Strengthening for Improved TB Prevention and Care,</w:t>
      </w:r>
      <w:r w:rsidR="001D0D67">
        <w:rPr>
          <w:rFonts w:cs="Calibri"/>
          <w:sz w:val="20"/>
          <w:szCs w:val="20"/>
        </w:rPr>
        <w:t xml:space="preserve"> </w:t>
      </w:r>
      <w:r w:rsidR="00105489" w:rsidRPr="00105489">
        <w:rPr>
          <w:rFonts w:cs="Calibri"/>
          <w:sz w:val="20"/>
          <w:szCs w:val="20"/>
        </w:rPr>
        <w:t>held in Barcelona</w:t>
      </w:r>
      <w:r w:rsidR="001D0D67">
        <w:rPr>
          <w:rFonts w:cs="Calibri"/>
          <w:sz w:val="20"/>
          <w:szCs w:val="20"/>
        </w:rPr>
        <w:t>;</w:t>
      </w:r>
      <w:r w:rsidR="00105489">
        <w:rPr>
          <w:rFonts w:cs="Calibri"/>
          <w:sz w:val="20"/>
          <w:szCs w:val="20"/>
          <w:lang w:val="en-US"/>
        </w:rPr>
        <w:t xml:space="preserve"> </w:t>
      </w:r>
    </w:p>
    <w:p w:rsidR="00CA5A68" w:rsidRPr="00F25A83" w:rsidRDefault="00CA5A68" w:rsidP="00785C6D">
      <w:pPr>
        <w:pStyle w:val="ListParagraph"/>
        <w:numPr>
          <w:ilvl w:val="0"/>
          <w:numId w:val="2"/>
        </w:numPr>
        <w:jc w:val="both"/>
        <w:rPr>
          <w:rFonts w:cs="Calibri"/>
          <w:sz w:val="20"/>
          <w:szCs w:val="20"/>
        </w:rPr>
      </w:pPr>
      <w:r w:rsidRPr="00CA5A68">
        <w:rPr>
          <w:rFonts w:cs="Calibri"/>
          <w:sz w:val="20"/>
          <w:szCs w:val="20"/>
        </w:rPr>
        <w:t>The WHO Regional Office for Europe agreed with the TB-REP focal point to conduct a technical assessment, with a special focus on financing mechanisms, to strengthen the ambulatory level of TB services in 2017. The broa</w:t>
      </w:r>
      <w:r>
        <w:rPr>
          <w:rFonts w:cs="Calibri"/>
          <w:sz w:val="20"/>
          <w:szCs w:val="20"/>
        </w:rPr>
        <w:t>d objective wa</w:t>
      </w:r>
      <w:r w:rsidRPr="00CA5A68">
        <w:rPr>
          <w:rFonts w:cs="Calibri"/>
          <w:sz w:val="20"/>
          <w:szCs w:val="20"/>
        </w:rPr>
        <w:t>s to provide general guidance to the country team on developing TB services financing and TB provider payment mechanisms.</w:t>
      </w:r>
      <w:r w:rsidRPr="00785C6D">
        <w:rPr>
          <w:rFonts w:cs="Calibri"/>
          <w:sz w:val="20"/>
          <w:szCs w:val="20"/>
        </w:rPr>
        <w:t xml:space="preserve"> </w:t>
      </w:r>
      <w:r w:rsidR="00785C6D" w:rsidRPr="00785C6D">
        <w:rPr>
          <w:rFonts w:cs="Calibri"/>
          <w:sz w:val="20"/>
          <w:szCs w:val="20"/>
        </w:rPr>
        <w:t>A comprehensive assessment with relevant recommendations for strengthening outpatient TB services has been elaborated and discussed with stak</w:t>
      </w:r>
      <w:r w:rsidR="00785C6D">
        <w:rPr>
          <w:rFonts w:cs="Calibri"/>
          <w:sz w:val="20"/>
          <w:szCs w:val="20"/>
          <w:lang w:val="en-US"/>
        </w:rPr>
        <w:t>e</w:t>
      </w:r>
      <w:r w:rsidR="00785C6D" w:rsidRPr="00785C6D">
        <w:rPr>
          <w:rFonts w:cs="Calibri"/>
          <w:sz w:val="20"/>
          <w:szCs w:val="20"/>
        </w:rPr>
        <w:t xml:space="preserve">holders. </w:t>
      </w:r>
    </w:p>
    <w:p w:rsidR="00673E39" w:rsidRPr="00673E39" w:rsidRDefault="00673E39" w:rsidP="00673E39">
      <w:pPr>
        <w:pStyle w:val="ListParagraph"/>
        <w:jc w:val="both"/>
        <w:rPr>
          <w:rFonts w:cs="Calibri"/>
          <w:sz w:val="20"/>
          <w:szCs w:val="20"/>
        </w:rPr>
      </w:pPr>
    </w:p>
    <w:p w:rsidR="00A00C8F" w:rsidRPr="00673E39" w:rsidRDefault="00673E39" w:rsidP="00673E39">
      <w:pPr>
        <w:jc w:val="both"/>
        <w:rPr>
          <w:rFonts w:cs="Calibri"/>
          <w:sz w:val="20"/>
          <w:szCs w:val="20"/>
        </w:rPr>
      </w:pPr>
      <w:r>
        <w:rPr>
          <w:rFonts w:cs="Calibri"/>
          <w:sz w:val="20"/>
          <w:szCs w:val="20"/>
          <w:lang w:val="en-US"/>
        </w:rPr>
        <w:t>T</w:t>
      </w:r>
      <w:r w:rsidR="00785C6D" w:rsidRPr="00673E39">
        <w:rPr>
          <w:rFonts w:cs="Calibri"/>
          <w:sz w:val="20"/>
          <w:szCs w:val="20"/>
          <w:lang w:val="en-US"/>
        </w:rPr>
        <w:t>he country through CCM has formally supported a new regional project proposed by PAS Center “Tuberculosis: improving quality of care and prevention of drug resistant tuberculosis in E</w:t>
      </w:r>
      <w:r>
        <w:rPr>
          <w:rFonts w:cs="Calibri"/>
          <w:sz w:val="20"/>
          <w:szCs w:val="20"/>
          <w:lang w:val="en-US"/>
        </w:rPr>
        <w:t>astern Europe and Central Asia” which started in 2018.</w:t>
      </w:r>
      <w:bookmarkStart w:id="0" w:name="_GoBack"/>
      <w:bookmarkEnd w:id="0"/>
    </w:p>
    <w:sectPr w:rsidR="00A00C8F" w:rsidRPr="00673E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7724B"/>
    <w:multiLevelType w:val="hybridMultilevel"/>
    <w:tmpl w:val="D528F2A8"/>
    <w:lvl w:ilvl="0" w:tplc="CE2AE036">
      <w:start w:val="1"/>
      <w:numFmt w:val="bullet"/>
      <w:lvlText w:val="•"/>
      <w:lvlJc w:val="left"/>
      <w:pPr>
        <w:tabs>
          <w:tab w:val="num" w:pos="720"/>
        </w:tabs>
        <w:ind w:left="720" w:hanging="360"/>
      </w:pPr>
      <w:rPr>
        <w:rFonts w:ascii="Times New Roman" w:hAnsi="Times New Roman" w:hint="default"/>
      </w:rPr>
    </w:lvl>
    <w:lvl w:ilvl="1" w:tplc="03BC9974" w:tentative="1">
      <w:start w:val="1"/>
      <w:numFmt w:val="bullet"/>
      <w:lvlText w:val="•"/>
      <w:lvlJc w:val="left"/>
      <w:pPr>
        <w:tabs>
          <w:tab w:val="num" w:pos="1440"/>
        </w:tabs>
        <w:ind w:left="1440" w:hanging="360"/>
      </w:pPr>
      <w:rPr>
        <w:rFonts w:ascii="Times New Roman" w:hAnsi="Times New Roman" w:hint="default"/>
      </w:rPr>
    </w:lvl>
    <w:lvl w:ilvl="2" w:tplc="91A61770" w:tentative="1">
      <w:start w:val="1"/>
      <w:numFmt w:val="bullet"/>
      <w:lvlText w:val="•"/>
      <w:lvlJc w:val="left"/>
      <w:pPr>
        <w:tabs>
          <w:tab w:val="num" w:pos="2160"/>
        </w:tabs>
        <w:ind w:left="2160" w:hanging="360"/>
      </w:pPr>
      <w:rPr>
        <w:rFonts w:ascii="Times New Roman" w:hAnsi="Times New Roman" w:hint="default"/>
      </w:rPr>
    </w:lvl>
    <w:lvl w:ilvl="3" w:tplc="7BF85542" w:tentative="1">
      <w:start w:val="1"/>
      <w:numFmt w:val="bullet"/>
      <w:lvlText w:val="•"/>
      <w:lvlJc w:val="left"/>
      <w:pPr>
        <w:tabs>
          <w:tab w:val="num" w:pos="2880"/>
        </w:tabs>
        <w:ind w:left="2880" w:hanging="360"/>
      </w:pPr>
      <w:rPr>
        <w:rFonts w:ascii="Times New Roman" w:hAnsi="Times New Roman" w:hint="default"/>
      </w:rPr>
    </w:lvl>
    <w:lvl w:ilvl="4" w:tplc="390040EE" w:tentative="1">
      <w:start w:val="1"/>
      <w:numFmt w:val="bullet"/>
      <w:lvlText w:val="•"/>
      <w:lvlJc w:val="left"/>
      <w:pPr>
        <w:tabs>
          <w:tab w:val="num" w:pos="3600"/>
        </w:tabs>
        <w:ind w:left="3600" w:hanging="360"/>
      </w:pPr>
      <w:rPr>
        <w:rFonts w:ascii="Times New Roman" w:hAnsi="Times New Roman" w:hint="default"/>
      </w:rPr>
    </w:lvl>
    <w:lvl w:ilvl="5" w:tplc="7C18329A" w:tentative="1">
      <w:start w:val="1"/>
      <w:numFmt w:val="bullet"/>
      <w:lvlText w:val="•"/>
      <w:lvlJc w:val="left"/>
      <w:pPr>
        <w:tabs>
          <w:tab w:val="num" w:pos="4320"/>
        </w:tabs>
        <w:ind w:left="4320" w:hanging="360"/>
      </w:pPr>
      <w:rPr>
        <w:rFonts w:ascii="Times New Roman" w:hAnsi="Times New Roman" w:hint="default"/>
      </w:rPr>
    </w:lvl>
    <w:lvl w:ilvl="6" w:tplc="90F8EDDA" w:tentative="1">
      <w:start w:val="1"/>
      <w:numFmt w:val="bullet"/>
      <w:lvlText w:val="•"/>
      <w:lvlJc w:val="left"/>
      <w:pPr>
        <w:tabs>
          <w:tab w:val="num" w:pos="5040"/>
        </w:tabs>
        <w:ind w:left="5040" w:hanging="360"/>
      </w:pPr>
      <w:rPr>
        <w:rFonts w:ascii="Times New Roman" w:hAnsi="Times New Roman" w:hint="default"/>
      </w:rPr>
    </w:lvl>
    <w:lvl w:ilvl="7" w:tplc="878A2930" w:tentative="1">
      <w:start w:val="1"/>
      <w:numFmt w:val="bullet"/>
      <w:lvlText w:val="•"/>
      <w:lvlJc w:val="left"/>
      <w:pPr>
        <w:tabs>
          <w:tab w:val="num" w:pos="5760"/>
        </w:tabs>
        <w:ind w:left="5760" w:hanging="360"/>
      </w:pPr>
      <w:rPr>
        <w:rFonts w:ascii="Times New Roman" w:hAnsi="Times New Roman" w:hint="default"/>
      </w:rPr>
    </w:lvl>
    <w:lvl w:ilvl="8" w:tplc="9C54BC7A" w:tentative="1">
      <w:start w:val="1"/>
      <w:numFmt w:val="bullet"/>
      <w:lvlText w:val="•"/>
      <w:lvlJc w:val="left"/>
      <w:pPr>
        <w:tabs>
          <w:tab w:val="num" w:pos="6480"/>
        </w:tabs>
        <w:ind w:left="6480" w:hanging="360"/>
      </w:pPr>
      <w:rPr>
        <w:rFonts w:ascii="Times New Roman" w:hAnsi="Times New Roman" w:hint="default"/>
      </w:rPr>
    </w:lvl>
  </w:abstractNum>
  <w:abstractNum w:abstractNumId="1">
    <w:nsid w:val="286310D8"/>
    <w:multiLevelType w:val="hybridMultilevel"/>
    <w:tmpl w:val="4BDE16FC"/>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
    <w:nsid w:val="2B4D5335"/>
    <w:multiLevelType w:val="hybridMultilevel"/>
    <w:tmpl w:val="D94A88B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nsid w:val="395233AC"/>
    <w:multiLevelType w:val="hybridMultilevel"/>
    <w:tmpl w:val="36C44BB6"/>
    <w:lvl w:ilvl="0" w:tplc="DA7EC872">
      <w:start w:val="1"/>
      <w:numFmt w:val="bullet"/>
      <w:lvlText w:val="•"/>
      <w:lvlJc w:val="left"/>
      <w:pPr>
        <w:tabs>
          <w:tab w:val="num" w:pos="720"/>
        </w:tabs>
        <w:ind w:left="720" w:hanging="360"/>
      </w:pPr>
      <w:rPr>
        <w:rFonts w:ascii="Times New Roman" w:hAnsi="Times New Roman" w:hint="default"/>
      </w:rPr>
    </w:lvl>
    <w:lvl w:ilvl="1" w:tplc="3ECC79E6" w:tentative="1">
      <w:start w:val="1"/>
      <w:numFmt w:val="bullet"/>
      <w:lvlText w:val="•"/>
      <w:lvlJc w:val="left"/>
      <w:pPr>
        <w:tabs>
          <w:tab w:val="num" w:pos="1440"/>
        </w:tabs>
        <w:ind w:left="1440" w:hanging="360"/>
      </w:pPr>
      <w:rPr>
        <w:rFonts w:ascii="Times New Roman" w:hAnsi="Times New Roman" w:hint="default"/>
      </w:rPr>
    </w:lvl>
    <w:lvl w:ilvl="2" w:tplc="EAB272CC" w:tentative="1">
      <w:start w:val="1"/>
      <w:numFmt w:val="bullet"/>
      <w:lvlText w:val="•"/>
      <w:lvlJc w:val="left"/>
      <w:pPr>
        <w:tabs>
          <w:tab w:val="num" w:pos="2160"/>
        </w:tabs>
        <w:ind w:left="2160" w:hanging="360"/>
      </w:pPr>
      <w:rPr>
        <w:rFonts w:ascii="Times New Roman" w:hAnsi="Times New Roman" w:hint="default"/>
      </w:rPr>
    </w:lvl>
    <w:lvl w:ilvl="3" w:tplc="6CE4EF3C" w:tentative="1">
      <w:start w:val="1"/>
      <w:numFmt w:val="bullet"/>
      <w:lvlText w:val="•"/>
      <w:lvlJc w:val="left"/>
      <w:pPr>
        <w:tabs>
          <w:tab w:val="num" w:pos="2880"/>
        </w:tabs>
        <w:ind w:left="2880" w:hanging="360"/>
      </w:pPr>
      <w:rPr>
        <w:rFonts w:ascii="Times New Roman" w:hAnsi="Times New Roman" w:hint="default"/>
      </w:rPr>
    </w:lvl>
    <w:lvl w:ilvl="4" w:tplc="6B6EE6A4" w:tentative="1">
      <w:start w:val="1"/>
      <w:numFmt w:val="bullet"/>
      <w:lvlText w:val="•"/>
      <w:lvlJc w:val="left"/>
      <w:pPr>
        <w:tabs>
          <w:tab w:val="num" w:pos="3600"/>
        </w:tabs>
        <w:ind w:left="3600" w:hanging="360"/>
      </w:pPr>
      <w:rPr>
        <w:rFonts w:ascii="Times New Roman" w:hAnsi="Times New Roman" w:hint="default"/>
      </w:rPr>
    </w:lvl>
    <w:lvl w:ilvl="5" w:tplc="E4148814" w:tentative="1">
      <w:start w:val="1"/>
      <w:numFmt w:val="bullet"/>
      <w:lvlText w:val="•"/>
      <w:lvlJc w:val="left"/>
      <w:pPr>
        <w:tabs>
          <w:tab w:val="num" w:pos="4320"/>
        </w:tabs>
        <w:ind w:left="4320" w:hanging="360"/>
      </w:pPr>
      <w:rPr>
        <w:rFonts w:ascii="Times New Roman" w:hAnsi="Times New Roman" w:hint="default"/>
      </w:rPr>
    </w:lvl>
    <w:lvl w:ilvl="6" w:tplc="FF3689B0" w:tentative="1">
      <w:start w:val="1"/>
      <w:numFmt w:val="bullet"/>
      <w:lvlText w:val="•"/>
      <w:lvlJc w:val="left"/>
      <w:pPr>
        <w:tabs>
          <w:tab w:val="num" w:pos="5040"/>
        </w:tabs>
        <w:ind w:left="5040" w:hanging="360"/>
      </w:pPr>
      <w:rPr>
        <w:rFonts w:ascii="Times New Roman" w:hAnsi="Times New Roman" w:hint="default"/>
      </w:rPr>
    </w:lvl>
    <w:lvl w:ilvl="7" w:tplc="98E62786" w:tentative="1">
      <w:start w:val="1"/>
      <w:numFmt w:val="bullet"/>
      <w:lvlText w:val="•"/>
      <w:lvlJc w:val="left"/>
      <w:pPr>
        <w:tabs>
          <w:tab w:val="num" w:pos="5760"/>
        </w:tabs>
        <w:ind w:left="5760" w:hanging="360"/>
      </w:pPr>
      <w:rPr>
        <w:rFonts w:ascii="Times New Roman" w:hAnsi="Times New Roman" w:hint="default"/>
      </w:rPr>
    </w:lvl>
    <w:lvl w:ilvl="8" w:tplc="85241484" w:tentative="1">
      <w:start w:val="1"/>
      <w:numFmt w:val="bullet"/>
      <w:lvlText w:val="•"/>
      <w:lvlJc w:val="left"/>
      <w:pPr>
        <w:tabs>
          <w:tab w:val="num" w:pos="6480"/>
        </w:tabs>
        <w:ind w:left="6480" w:hanging="360"/>
      </w:pPr>
      <w:rPr>
        <w:rFonts w:ascii="Times New Roman" w:hAnsi="Times New Roman" w:hint="default"/>
      </w:rPr>
    </w:lvl>
  </w:abstractNum>
  <w:abstractNum w:abstractNumId="4">
    <w:nsid w:val="56BA6AF5"/>
    <w:multiLevelType w:val="hybridMultilevel"/>
    <w:tmpl w:val="FBA6D018"/>
    <w:lvl w:ilvl="0" w:tplc="C28C1E1A">
      <w:start w:val="1"/>
      <w:numFmt w:val="bullet"/>
      <w:lvlText w:val="•"/>
      <w:lvlJc w:val="left"/>
      <w:pPr>
        <w:tabs>
          <w:tab w:val="num" w:pos="720"/>
        </w:tabs>
        <w:ind w:left="720" w:hanging="360"/>
      </w:pPr>
      <w:rPr>
        <w:rFonts w:ascii="Times New Roman" w:hAnsi="Times New Roman" w:hint="default"/>
      </w:rPr>
    </w:lvl>
    <w:lvl w:ilvl="1" w:tplc="105037D8" w:tentative="1">
      <w:start w:val="1"/>
      <w:numFmt w:val="bullet"/>
      <w:lvlText w:val="•"/>
      <w:lvlJc w:val="left"/>
      <w:pPr>
        <w:tabs>
          <w:tab w:val="num" w:pos="1440"/>
        </w:tabs>
        <w:ind w:left="1440" w:hanging="360"/>
      </w:pPr>
      <w:rPr>
        <w:rFonts w:ascii="Times New Roman" w:hAnsi="Times New Roman" w:hint="default"/>
      </w:rPr>
    </w:lvl>
    <w:lvl w:ilvl="2" w:tplc="B980F272" w:tentative="1">
      <w:start w:val="1"/>
      <w:numFmt w:val="bullet"/>
      <w:lvlText w:val="•"/>
      <w:lvlJc w:val="left"/>
      <w:pPr>
        <w:tabs>
          <w:tab w:val="num" w:pos="2160"/>
        </w:tabs>
        <w:ind w:left="2160" w:hanging="360"/>
      </w:pPr>
      <w:rPr>
        <w:rFonts w:ascii="Times New Roman" w:hAnsi="Times New Roman" w:hint="default"/>
      </w:rPr>
    </w:lvl>
    <w:lvl w:ilvl="3" w:tplc="915E51B0" w:tentative="1">
      <w:start w:val="1"/>
      <w:numFmt w:val="bullet"/>
      <w:lvlText w:val="•"/>
      <w:lvlJc w:val="left"/>
      <w:pPr>
        <w:tabs>
          <w:tab w:val="num" w:pos="2880"/>
        </w:tabs>
        <w:ind w:left="2880" w:hanging="360"/>
      </w:pPr>
      <w:rPr>
        <w:rFonts w:ascii="Times New Roman" w:hAnsi="Times New Roman" w:hint="default"/>
      </w:rPr>
    </w:lvl>
    <w:lvl w:ilvl="4" w:tplc="43FEF46A" w:tentative="1">
      <w:start w:val="1"/>
      <w:numFmt w:val="bullet"/>
      <w:lvlText w:val="•"/>
      <w:lvlJc w:val="left"/>
      <w:pPr>
        <w:tabs>
          <w:tab w:val="num" w:pos="3600"/>
        </w:tabs>
        <w:ind w:left="3600" w:hanging="360"/>
      </w:pPr>
      <w:rPr>
        <w:rFonts w:ascii="Times New Roman" w:hAnsi="Times New Roman" w:hint="default"/>
      </w:rPr>
    </w:lvl>
    <w:lvl w:ilvl="5" w:tplc="37B8EC92" w:tentative="1">
      <w:start w:val="1"/>
      <w:numFmt w:val="bullet"/>
      <w:lvlText w:val="•"/>
      <w:lvlJc w:val="left"/>
      <w:pPr>
        <w:tabs>
          <w:tab w:val="num" w:pos="4320"/>
        </w:tabs>
        <w:ind w:left="4320" w:hanging="360"/>
      </w:pPr>
      <w:rPr>
        <w:rFonts w:ascii="Times New Roman" w:hAnsi="Times New Roman" w:hint="default"/>
      </w:rPr>
    </w:lvl>
    <w:lvl w:ilvl="6" w:tplc="26C84DBE" w:tentative="1">
      <w:start w:val="1"/>
      <w:numFmt w:val="bullet"/>
      <w:lvlText w:val="•"/>
      <w:lvlJc w:val="left"/>
      <w:pPr>
        <w:tabs>
          <w:tab w:val="num" w:pos="5040"/>
        </w:tabs>
        <w:ind w:left="5040" w:hanging="360"/>
      </w:pPr>
      <w:rPr>
        <w:rFonts w:ascii="Times New Roman" w:hAnsi="Times New Roman" w:hint="default"/>
      </w:rPr>
    </w:lvl>
    <w:lvl w:ilvl="7" w:tplc="C7A226D2" w:tentative="1">
      <w:start w:val="1"/>
      <w:numFmt w:val="bullet"/>
      <w:lvlText w:val="•"/>
      <w:lvlJc w:val="left"/>
      <w:pPr>
        <w:tabs>
          <w:tab w:val="num" w:pos="5760"/>
        </w:tabs>
        <w:ind w:left="5760" w:hanging="360"/>
      </w:pPr>
      <w:rPr>
        <w:rFonts w:ascii="Times New Roman" w:hAnsi="Times New Roman" w:hint="default"/>
      </w:rPr>
    </w:lvl>
    <w:lvl w:ilvl="8" w:tplc="8904F9A2" w:tentative="1">
      <w:start w:val="1"/>
      <w:numFmt w:val="bullet"/>
      <w:lvlText w:val="•"/>
      <w:lvlJc w:val="left"/>
      <w:pPr>
        <w:tabs>
          <w:tab w:val="num" w:pos="6480"/>
        </w:tabs>
        <w:ind w:left="6480" w:hanging="360"/>
      </w:pPr>
      <w:rPr>
        <w:rFonts w:ascii="Times New Roman" w:hAnsi="Times New Roman" w:hint="default"/>
      </w:rPr>
    </w:lvl>
  </w:abstractNum>
  <w:abstractNum w:abstractNumId="5">
    <w:nsid w:val="5FA46670"/>
    <w:multiLevelType w:val="hybridMultilevel"/>
    <w:tmpl w:val="3FB6B9EA"/>
    <w:lvl w:ilvl="0" w:tplc="C6AAE91E">
      <w:start w:val="1"/>
      <w:numFmt w:val="bullet"/>
      <w:lvlText w:val="•"/>
      <w:lvlJc w:val="left"/>
      <w:pPr>
        <w:tabs>
          <w:tab w:val="num" w:pos="720"/>
        </w:tabs>
        <w:ind w:left="720" w:hanging="360"/>
      </w:pPr>
      <w:rPr>
        <w:rFonts w:ascii="Times New Roman" w:hAnsi="Times New Roman" w:hint="default"/>
      </w:rPr>
    </w:lvl>
    <w:lvl w:ilvl="1" w:tplc="A672F9CE" w:tentative="1">
      <w:start w:val="1"/>
      <w:numFmt w:val="bullet"/>
      <w:lvlText w:val="•"/>
      <w:lvlJc w:val="left"/>
      <w:pPr>
        <w:tabs>
          <w:tab w:val="num" w:pos="1440"/>
        </w:tabs>
        <w:ind w:left="1440" w:hanging="360"/>
      </w:pPr>
      <w:rPr>
        <w:rFonts w:ascii="Times New Roman" w:hAnsi="Times New Roman" w:hint="default"/>
      </w:rPr>
    </w:lvl>
    <w:lvl w:ilvl="2" w:tplc="035E88C2" w:tentative="1">
      <w:start w:val="1"/>
      <w:numFmt w:val="bullet"/>
      <w:lvlText w:val="•"/>
      <w:lvlJc w:val="left"/>
      <w:pPr>
        <w:tabs>
          <w:tab w:val="num" w:pos="2160"/>
        </w:tabs>
        <w:ind w:left="2160" w:hanging="360"/>
      </w:pPr>
      <w:rPr>
        <w:rFonts w:ascii="Times New Roman" w:hAnsi="Times New Roman" w:hint="default"/>
      </w:rPr>
    </w:lvl>
    <w:lvl w:ilvl="3" w:tplc="EA10293E" w:tentative="1">
      <w:start w:val="1"/>
      <w:numFmt w:val="bullet"/>
      <w:lvlText w:val="•"/>
      <w:lvlJc w:val="left"/>
      <w:pPr>
        <w:tabs>
          <w:tab w:val="num" w:pos="2880"/>
        </w:tabs>
        <w:ind w:left="2880" w:hanging="360"/>
      </w:pPr>
      <w:rPr>
        <w:rFonts w:ascii="Times New Roman" w:hAnsi="Times New Roman" w:hint="default"/>
      </w:rPr>
    </w:lvl>
    <w:lvl w:ilvl="4" w:tplc="7E2A96C8" w:tentative="1">
      <w:start w:val="1"/>
      <w:numFmt w:val="bullet"/>
      <w:lvlText w:val="•"/>
      <w:lvlJc w:val="left"/>
      <w:pPr>
        <w:tabs>
          <w:tab w:val="num" w:pos="3600"/>
        </w:tabs>
        <w:ind w:left="3600" w:hanging="360"/>
      </w:pPr>
      <w:rPr>
        <w:rFonts w:ascii="Times New Roman" w:hAnsi="Times New Roman" w:hint="default"/>
      </w:rPr>
    </w:lvl>
    <w:lvl w:ilvl="5" w:tplc="F78A18FE" w:tentative="1">
      <w:start w:val="1"/>
      <w:numFmt w:val="bullet"/>
      <w:lvlText w:val="•"/>
      <w:lvlJc w:val="left"/>
      <w:pPr>
        <w:tabs>
          <w:tab w:val="num" w:pos="4320"/>
        </w:tabs>
        <w:ind w:left="4320" w:hanging="360"/>
      </w:pPr>
      <w:rPr>
        <w:rFonts w:ascii="Times New Roman" w:hAnsi="Times New Roman" w:hint="default"/>
      </w:rPr>
    </w:lvl>
    <w:lvl w:ilvl="6" w:tplc="432AEFA0" w:tentative="1">
      <w:start w:val="1"/>
      <w:numFmt w:val="bullet"/>
      <w:lvlText w:val="•"/>
      <w:lvlJc w:val="left"/>
      <w:pPr>
        <w:tabs>
          <w:tab w:val="num" w:pos="5040"/>
        </w:tabs>
        <w:ind w:left="5040" w:hanging="360"/>
      </w:pPr>
      <w:rPr>
        <w:rFonts w:ascii="Times New Roman" w:hAnsi="Times New Roman" w:hint="default"/>
      </w:rPr>
    </w:lvl>
    <w:lvl w:ilvl="7" w:tplc="85B049EC" w:tentative="1">
      <w:start w:val="1"/>
      <w:numFmt w:val="bullet"/>
      <w:lvlText w:val="•"/>
      <w:lvlJc w:val="left"/>
      <w:pPr>
        <w:tabs>
          <w:tab w:val="num" w:pos="5760"/>
        </w:tabs>
        <w:ind w:left="5760" w:hanging="360"/>
      </w:pPr>
      <w:rPr>
        <w:rFonts w:ascii="Times New Roman" w:hAnsi="Times New Roman" w:hint="default"/>
      </w:rPr>
    </w:lvl>
    <w:lvl w:ilvl="8" w:tplc="51D49A98"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AAC"/>
    <w:rsid w:val="00105489"/>
    <w:rsid w:val="00142EE5"/>
    <w:rsid w:val="00190733"/>
    <w:rsid w:val="001D0D67"/>
    <w:rsid w:val="0045078F"/>
    <w:rsid w:val="00483A42"/>
    <w:rsid w:val="00673E39"/>
    <w:rsid w:val="00785C6D"/>
    <w:rsid w:val="00882487"/>
    <w:rsid w:val="009D7AAC"/>
    <w:rsid w:val="00A00C8F"/>
    <w:rsid w:val="00A178C0"/>
    <w:rsid w:val="00A57A74"/>
    <w:rsid w:val="00A93CB2"/>
    <w:rsid w:val="00AE736C"/>
    <w:rsid w:val="00B04EC0"/>
    <w:rsid w:val="00B34F7A"/>
    <w:rsid w:val="00CA5A68"/>
    <w:rsid w:val="00D85D7F"/>
    <w:rsid w:val="00E22CF0"/>
    <w:rsid w:val="00EC544C"/>
    <w:rsid w:val="00F25A83"/>
    <w:rsid w:val="00F70EF4"/>
    <w:rsid w:val="00F727BA"/>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E6E7D3-2585-4DD3-8F7A-C6B9DA25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3E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CB2"/>
    <w:pPr>
      <w:ind w:left="720"/>
      <w:contextualSpacing/>
    </w:pPr>
  </w:style>
  <w:style w:type="character" w:customStyle="1" w:styleId="Note">
    <w:name w:val="Note"/>
    <w:rsid w:val="00A00C8F"/>
    <w:rPr>
      <w:rFonts w:ascii="Arial" w:hAnsi="Arial"/>
      <w:sz w:val="18"/>
      <w:lang w:val="uk-UA"/>
    </w:rPr>
  </w:style>
  <w:style w:type="character" w:styleId="Hyperlink">
    <w:name w:val="Hyperlink"/>
    <w:basedOn w:val="DefaultParagraphFont"/>
    <w:uiPriority w:val="99"/>
    <w:unhideWhenUsed/>
    <w:rsid w:val="00A178C0"/>
    <w:rPr>
      <w:color w:val="0563C1" w:themeColor="hyperlink"/>
      <w:u w:val="single"/>
    </w:rPr>
  </w:style>
  <w:style w:type="character" w:styleId="FollowedHyperlink">
    <w:name w:val="FollowedHyperlink"/>
    <w:basedOn w:val="DefaultParagraphFont"/>
    <w:uiPriority w:val="99"/>
    <w:semiHidden/>
    <w:unhideWhenUsed/>
    <w:rsid w:val="00A178C0"/>
    <w:rPr>
      <w:color w:val="954F72" w:themeColor="followedHyperlink"/>
      <w:u w:val="single"/>
    </w:rPr>
  </w:style>
  <w:style w:type="character" w:customStyle="1" w:styleId="Heading1Char">
    <w:name w:val="Heading 1 Char"/>
    <w:basedOn w:val="DefaultParagraphFont"/>
    <w:link w:val="Heading1"/>
    <w:uiPriority w:val="9"/>
    <w:rsid w:val="00673E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176893">
      <w:bodyDiv w:val="1"/>
      <w:marLeft w:val="0"/>
      <w:marRight w:val="0"/>
      <w:marTop w:val="0"/>
      <w:marBottom w:val="0"/>
      <w:divBdr>
        <w:top w:val="none" w:sz="0" w:space="0" w:color="auto"/>
        <w:left w:val="none" w:sz="0" w:space="0" w:color="auto"/>
        <w:bottom w:val="none" w:sz="0" w:space="0" w:color="auto"/>
        <w:right w:val="none" w:sz="0" w:space="0" w:color="auto"/>
      </w:divBdr>
      <w:divsChild>
        <w:div w:id="2115246159">
          <w:marLeft w:val="547"/>
          <w:marRight w:val="0"/>
          <w:marTop w:val="0"/>
          <w:marBottom w:val="0"/>
          <w:divBdr>
            <w:top w:val="none" w:sz="0" w:space="0" w:color="auto"/>
            <w:left w:val="none" w:sz="0" w:space="0" w:color="auto"/>
            <w:bottom w:val="none" w:sz="0" w:space="0" w:color="auto"/>
            <w:right w:val="none" w:sz="0" w:space="0" w:color="auto"/>
          </w:divBdr>
        </w:div>
      </w:divsChild>
    </w:div>
    <w:div w:id="1148059742">
      <w:bodyDiv w:val="1"/>
      <w:marLeft w:val="0"/>
      <w:marRight w:val="0"/>
      <w:marTop w:val="0"/>
      <w:marBottom w:val="0"/>
      <w:divBdr>
        <w:top w:val="none" w:sz="0" w:space="0" w:color="auto"/>
        <w:left w:val="none" w:sz="0" w:space="0" w:color="auto"/>
        <w:bottom w:val="none" w:sz="0" w:space="0" w:color="auto"/>
        <w:right w:val="none" w:sz="0" w:space="0" w:color="auto"/>
      </w:divBdr>
      <w:divsChild>
        <w:div w:id="253129157">
          <w:marLeft w:val="547"/>
          <w:marRight w:val="0"/>
          <w:marTop w:val="0"/>
          <w:marBottom w:val="0"/>
          <w:divBdr>
            <w:top w:val="none" w:sz="0" w:space="0" w:color="auto"/>
            <w:left w:val="none" w:sz="0" w:space="0" w:color="auto"/>
            <w:bottom w:val="none" w:sz="0" w:space="0" w:color="auto"/>
            <w:right w:val="none" w:sz="0" w:space="0" w:color="auto"/>
          </w:divBdr>
        </w:div>
      </w:divsChild>
    </w:div>
    <w:div w:id="1299653008">
      <w:bodyDiv w:val="1"/>
      <w:marLeft w:val="0"/>
      <w:marRight w:val="0"/>
      <w:marTop w:val="0"/>
      <w:marBottom w:val="0"/>
      <w:divBdr>
        <w:top w:val="none" w:sz="0" w:space="0" w:color="auto"/>
        <w:left w:val="none" w:sz="0" w:space="0" w:color="auto"/>
        <w:bottom w:val="none" w:sz="0" w:space="0" w:color="auto"/>
        <w:right w:val="none" w:sz="0" w:space="0" w:color="auto"/>
      </w:divBdr>
      <w:divsChild>
        <w:div w:id="1191459436">
          <w:marLeft w:val="547"/>
          <w:marRight w:val="0"/>
          <w:marTop w:val="0"/>
          <w:marBottom w:val="0"/>
          <w:divBdr>
            <w:top w:val="none" w:sz="0" w:space="0" w:color="auto"/>
            <w:left w:val="none" w:sz="0" w:space="0" w:color="auto"/>
            <w:bottom w:val="none" w:sz="0" w:space="0" w:color="auto"/>
            <w:right w:val="none" w:sz="0" w:space="0" w:color="auto"/>
          </w:divBdr>
        </w:div>
      </w:divsChild>
    </w:div>
    <w:div w:id="1418333225">
      <w:bodyDiv w:val="1"/>
      <w:marLeft w:val="0"/>
      <w:marRight w:val="0"/>
      <w:marTop w:val="0"/>
      <w:marBottom w:val="0"/>
      <w:divBdr>
        <w:top w:val="none" w:sz="0" w:space="0" w:color="auto"/>
        <w:left w:val="none" w:sz="0" w:space="0" w:color="auto"/>
        <w:bottom w:val="none" w:sz="0" w:space="0" w:color="auto"/>
        <w:right w:val="none" w:sz="0" w:space="0" w:color="auto"/>
      </w:divBdr>
      <w:divsChild>
        <w:div w:id="581108969">
          <w:marLeft w:val="547"/>
          <w:marRight w:val="0"/>
          <w:marTop w:val="0"/>
          <w:marBottom w:val="0"/>
          <w:divBdr>
            <w:top w:val="none" w:sz="0" w:space="0" w:color="auto"/>
            <w:left w:val="none" w:sz="0" w:space="0" w:color="auto"/>
            <w:bottom w:val="none" w:sz="0" w:space="0" w:color="auto"/>
            <w:right w:val="none" w:sz="0" w:space="0" w:color="auto"/>
          </w:divBdr>
        </w:div>
        <w:div w:id="1169442144">
          <w:marLeft w:val="547"/>
          <w:marRight w:val="0"/>
          <w:marTop w:val="0"/>
          <w:marBottom w:val="0"/>
          <w:divBdr>
            <w:top w:val="none" w:sz="0" w:space="0" w:color="auto"/>
            <w:left w:val="none" w:sz="0" w:space="0" w:color="auto"/>
            <w:bottom w:val="none" w:sz="0" w:space="0" w:color="auto"/>
            <w:right w:val="none" w:sz="0" w:space="0" w:color="auto"/>
          </w:divBdr>
        </w:div>
        <w:div w:id="800804351">
          <w:marLeft w:val="547"/>
          <w:marRight w:val="0"/>
          <w:marTop w:val="0"/>
          <w:marBottom w:val="0"/>
          <w:divBdr>
            <w:top w:val="none" w:sz="0" w:space="0" w:color="auto"/>
            <w:left w:val="none" w:sz="0" w:space="0" w:color="auto"/>
            <w:bottom w:val="none" w:sz="0" w:space="0" w:color="auto"/>
            <w:right w:val="none" w:sz="0" w:space="0" w:color="auto"/>
          </w:divBdr>
        </w:div>
      </w:divsChild>
    </w:div>
    <w:div w:id="1428043181">
      <w:bodyDiv w:val="1"/>
      <w:marLeft w:val="0"/>
      <w:marRight w:val="0"/>
      <w:marTop w:val="0"/>
      <w:marBottom w:val="0"/>
      <w:divBdr>
        <w:top w:val="none" w:sz="0" w:space="0" w:color="auto"/>
        <w:left w:val="none" w:sz="0" w:space="0" w:color="auto"/>
        <w:bottom w:val="none" w:sz="0" w:space="0" w:color="auto"/>
        <w:right w:val="none" w:sz="0" w:space="0" w:color="auto"/>
      </w:divBdr>
      <w:divsChild>
        <w:div w:id="7316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828427">
              <w:marLeft w:val="0"/>
              <w:marRight w:val="0"/>
              <w:marTop w:val="0"/>
              <w:marBottom w:val="0"/>
              <w:divBdr>
                <w:top w:val="none" w:sz="0" w:space="0" w:color="auto"/>
                <w:left w:val="none" w:sz="0" w:space="0" w:color="auto"/>
                <w:bottom w:val="none" w:sz="0" w:space="0" w:color="auto"/>
                <w:right w:val="none" w:sz="0" w:space="0" w:color="auto"/>
              </w:divBdr>
              <w:divsChild>
                <w:div w:id="1938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uro.who.int/__data/assets/pdf_file/0004/342373/TB_Content_WHO_PRO_eng_final.pdf?ua=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Kuchukhidze</dc:creator>
  <cp:lastModifiedBy>Irma Khonelidze</cp:lastModifiedBy>
  <cp:revision>2</cp:revision>
  <dcterms:created xsi:type="dcterms:W3CDTF">2018-09-10T13:04:00Z</dcterms:created>
  <dcterms:modified xsi:type="dcterms:W3CDTF">2018-09-10T13:04:00Z</dcterms:modified>
</cp:coreProperties>
</file>